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1984"/>
      </w:tblGrid>
      <w:tr w:rsidR="001C2552" w:rsidRPr="0073194D" w:rsidTr="00196ADA">
        <w:tc>
          <w:tcPr>
            <w:tcW w:w="1526" w:type="dxa"/>
          </w:tcPr>
          <w:p w:rsidR="001C2552" w:rsidRPr="0073194D" w:rsidRDefault="001C2552" w:rsidP="005B506F">
            <w:pPr>
              <w:rPr>
                <w:color w:val="003399"/>
              </w:rPr>
            </w:pPr>
            <w:r w:rsidRPr="0073194D">
              <w:rPr>
                <w:noProof/>
                <w:color w:val="003399"/>
                <w:lang w:val="ru-RU" w:eastAsia="ru-RU"/>
              </w:rPr>
              <w:drawing>
                <wp:inline distT="0" distB="0" distL="0" distR="0">
                  <wp:extent cx="885825" cy="781050"/>
                  <wp:effectExtent l="19050" t="0" r="9525" b="0"/>
                  <wp:docPr id="2" name="Рисунок 1" descr="C:\Users\Office\Desktop\Logo 2\logou redactat final\Logo-Vector-v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ffice\Desktop\Logo 2\logou redactat final\Logo-Vector-v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C2552" w:rsidRPr="0073194D" w:rsidRDefault="001C2552" w:rsidP="005B506F">
            <w:pPr>
              <w:rPr>
                <w:rFonts w:ascii="Times New Roman" w:eastAsia="Batang" w:hAnsi="Times New Roman" w:cs="Times New Roman"/>
                <w:b/>
                <w:color w:val="C00000"/>
                <w:sz w:val="60"/>
                <w:szCs w:val="60"/>
              </w:rPr>
            </w:pPr>
            <w:r w:rsidRPr="0073194D">
              <w:rPr>
                <w:rFonts w:ascii="Times New Roman" w:eastAsia="Batang" w:hAnsi="Times New Roman" w:cs="Times New Roman"/>
                <w:b/>
                <w:color w:val="003399"/>
                <w:sz w:val="60"/>
                <w:szCs w:val="60"/>
              </w:rPr>
              <w:t>C</w:t>
            </w:r>
            <w:r w:rsidRPr="0073194D">
              <w:rPr>
                <w:rFonts w:ascii="Times New Roman" w:eastAsia="Batang" w:hAnsi="Times New Roman" w:cs="Times New Roman"/>
                <w:b/>
                <w:color w:val="FFC000"/>
                <w:sz w:val="60"/>
                <w:szCs w:val="60"/>
              </w:rPr>
              <w:t>S</w:t>
            </w:r>
            <w:r w:rsidRPr="0073194D">
              <w:rPr>
                <w:rFonts w:ascii="Times New Roman" w:eastAsia="Batang" w:hAnsi="Times New Roman" w:cs="Times New Roman"/>
                <w:b/>
                <w:color w:val="C00000"/>
                <w:sz w:val="60"/>
                <w:szCs w:val="60"/>
              </w:rPr>
              <w:t>A</w:t>
            </w:r>
          </w:p>
          <w:p w:rsidR="001C2552" w:rsidRPr="0073194D" w:rsidRDefault="001C2552" w:rsidP="005B506F">
            <w:pPr>
              <w:rPr>
                <w:rFonts w:ascii="Times New Roman" w:eastAsia="Batang" w:hAnsi="Times New Roman" w:cs="Times New Roman"/>
                <w:b/>
                <w:color w:val="003399"/>
                <w:sz w:val="20"/>
                <w:szCs w:val="20"/>
              </w:rPr>
            </w:pPr>
            <w:r w:rsidRPr="0073194D">
              <w:rPr>
                <w:rFonts w:ascii="Times New Roman" w:eastAsia="Batang" w:hAnsi="Times New Roman" w:cs="Times New Roman"/>
                <w:b/>
                <w:color w:val="003399"/>
                <w:sz w:val="20"/>
                <w:szCs w:val="20"/>
              </w:rPr>
              <w:t xml:space="preserve">Colegiul Superior </w:t>
            </w:r>
          </w:p>
          <w:p w:rsidR="001C2552" w:rsidRPr="0073194D" w:rsidRDefault="001C2552" w:rsidP="005B506F">
            <w:pPr>
              <w:rPr>
                <w:rFonts w:ascii="Times New Roman" w:eastAsia="Batang" w:hAnsi="Times New Roman" w:cs="Times New Roman"/>
                <w:b/>
                <w:color w:val="003399"/>
                <w:sz w:val="20"/>
                <w:szCs w:val="20"/>
              </w:rPr>
            </w:pPr>
            <w:r w:rsidRPr="0073194D">
              <w:rPr>
                <w:rFonts w:ascii="Times New Roman" w:eastAsia="Batang" w:hAnsi="Times New Roman" w:cs="Times New Roman"/>
                <w:b/>
                <w:color w:val="003399"/>
                <w:sz w:val="20"/>
                <w:szCs w:val="20"/>
              </w:rPr>
              <w:t>de Arbitraj</w:t>
            </w:r>
          </w:p>
        </w:tc>
      </w:tr>
    </w:tbl>
    <w:p w:rsidR="001C2552" w:rsidRDefault="001C2552" w:rsidP="008D68E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2552" w:rsidRDefault="001C2552" w:rsidP="008D68E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45DE" w:rsidRDefault="004D45DE" w:rsidP="002E337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Regulamentul</w:t>
      </w:r>
      <w:r w:rsidR="00837A2F" w:rsidRPr="00872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cu privire la organizarea şi funcţionarea </w:t>
      </w:r>
    </w:p>
    <w:p w:rsidR="008D68EB" w:rsidRDefault="00837A2F" w:rsidP="002E337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2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secretariatului </w:t>
      </w:r>
      <w:r w:rsidR="004D4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Curții Internaționale de Arbitraj </w:t>
      </w:r>
    </w:p>
    <w:p w:rsidR="001C2552" w:rsidRDefault="001C2552" w:rsidP="002E337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D6A" w:rsidRDefault="008D68EB" w:rsidP="002E337B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Domeniul de aplicare </w:t>
      </w:r>
    </w:p>
    <w:p w:rsidR="00BD1D6A" w:rsidRDefault="008D68EB" w:rsidP="002E337B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Prezentul Regulament stabileşte statutul juridic, misiunea, funcţiile şi drepturile secretariatului </w:t>
      </w:r>
      <w:r w:rsidR="00BD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Curții Internaționale de Arbitraj</w:t>
      </w:r>
      <w:r w:rsidR="0094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(în continuare Secretariatul CIA)</w:t>
      </w:r>
      <w:r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precum şi modul de </w:t>
      </w:r>
      <w:r w:rsidR="0094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rganizare a activităţii acest</w:t>
      </w:r>
      <w:r w:rsidR="00BD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uia. </w:t>
      </w:r>
    </w:p>
    <w:p w:rsidR="009414D0" w:rsidRDefault="008D68EB" w:rsidP="002E337B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Regulamentul cu privire la organizarea şi funcţionarea secretariatului </w:t>
      </w:r>
      <w:r w:rsidR="00BD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Curții</w:t>
      </w:r>
      <w:r w:rsidR="0094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Internaționale de Arbitraj </w:t>
      </w:r>
      <w:r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(în continuare Regulament) este elaborat în vederea asigurării executării de către </w:t>
      </w:r>
      <w:r w:rsidR="0094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tribunalele arbitrale constituite</w:t>
      </w:r>
      <w:r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funcţiilor sale prevăzute de </w:t>
      </w:r>
      <w:r w:rsidR="0094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Regulile procedurii arbitrale </w:t>
      </w:r>
      <w:r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şi de alte acte normative.</w:t>
      </w:r>
    </w:p>
    <w:p w:rsidR="009414D0" w:rsidRDefault="008D68EB" w:rsidP="002E337B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2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Statutul juridic şi rolul </w:t>
      </w:r>
      <w:r w:rsidR="009414D0" w:rsidRPr="00872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Secretariatului </w:t>
      </w:r>
      <w:r w:rsidR="00941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CIA</w:t>
      </w:r>
    </w:p>
    <w:p w:rsidR="008D68EB" w:rsidRPr="00872353" w:rsidRDefault="008D68EB" w:rsidP="00D603B0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Secretariatul </w:t>
      </w:r>
      <w:r w:rsidR="0094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CIA </w:t>
      </w:r>
      <w:r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asigură asistenţa organizatorică şi administrativă a </w:t>
      </w:r>
      <w:r w:rsidR="0094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Curții Internaționale de Arbitraj și a tribunalelor arbitrale constituite conform Regulilor procedurii arbitrale</w:t>
      </w:r>
      <w:r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337B" w:rsidRDefault="008D68EB" w:rsidP="00D603B0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2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Misiunea</w:t>
      </w:r>
    </w:p>
    <w:p w:rsidR="002E337B" w:rsidRDefault="008D68EB" w:rsidP="00D603B0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Secretariatul </w:t>
      </w:r>
      <w:r w:rsidR="002E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CIA </w:t>
      </w:r>
      <w:r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oferă asistenţa organizatorică şi administrativă prin:</w:t>
      </w:r>
    </w:p>
    <w:p w:rsidR="002E337B" w:rsidRPr="002E337B" w:rsidRDefault="008D68EB" w:rsidP="00D603B0">
      <w:pPr>
        <w:pStyle w:val="a5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asigurarea şi organizarea gestionării eficiente a dosarelor;</w:t>
      </w:r>
    </w:p>
    <w:p w:rsidR="002E337B" w:rsidRDefault="008D68EB" w:rsidP="00D603B0">
      <w:pPr>
        <w:pStyle w:val="a5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planificarea şi utilizarea eficientă a resurselor umane şi financiare; </w:t>
      </w:r>
    </w:p>
    <w:p w:rsidR="002E337B" w:rsidRDefault="008D68EB" w:rsidP="00D603B0">
      <w:pPr>
        <w:pStyle w:val="a5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comunicarea eficientă cu </w:t>
      </w:r>
      <w:r w:rsidR="002E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participanții la procesul arbitral, inclusiv cu terții</w:t>
      </w:r>
      <w:r w:rsidRPr="002E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2E337B" w:rsidRDefault="008D68EB" w:rsidP="00D603B0">
      <w:pPr>
        <w:pStyle w:val="a5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suportul tehnico-material. </w:t>
      </w:r>
    </w:p>
    <w:p w:rsidR="00D603B0" w:rsidRDefault="008D68EB" w:rsidP="00D603B0">
      <w:pPr>
        <w:pStyle w:val="a5"/>
        <w:spacing w:before="120" w:after="120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Aceasta se va realiza pentru asigurarea eficienţei actului de justiţie şi a bunei funcţionări a </w:t>
      </w:r>
      <w:r w:rsidR="00D6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Curții de Arbitraj</w:t>
      </w:r>
      <w:r w:rsidRPr="002E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3B0" w:rsidRDefault="008D68EB" w:rsidP="00D603B0">
      <w:pPr>
        <w:pStyle w:val="a5"/>
        <w:spacing w:before="120" w:after="120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Funcţiile </w:t>
      </w:r>
      <w:r w:rsidR="00D603B0" w:rsidRPr="002E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Secretariatului </w:t>
      </w:r>
      <w:r w:rsidR="00D6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CIA</w:t>
      </w:r>
    </w:p>
    <w:p w:rsidR="00D603B0" w:rsidRDefault="008D68EB" w:rsidP="00D603B0">
      <w:pPr>
        <w:pStyle w:val="a5"/>
        <w:spacing w:before="120" w:after="120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În vederea realizării misiunii sale, </w:t>
      </w:r>
      <w:r w:rsidR="00CB3550" w:rsidRPr="002E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Secretariatul </w:t>
      </w:r>
      <w:r w:rsidR="00C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CIA </w:t>
      </w:r>
      <w:r w:rsidRPr="002E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exercită următoarele funcţii de bază:</w:t>
      </w:r>
    </w:p>
    <w:p w:rsidR="00D603B0" w:rsidRDefault="00CB3550" w:rsidP="00D603B0">
      <w:pPr>
        <w:pStyle w:val="a5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asistă tribunalele arbitrale</w:t>
      </w:r>
      <w:r w:rsidR="008D68EB" w:rsidRPr="002E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în procesul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examinare a cauzei</w:t>
      </w:r>
      <w:r w:rsidR="008D68EB" w:rsidRPr="002E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D603B0" w:rsidRDefault="008D68EB" w:rsidP="00D603B0">
      <w:pPr>
        <w:pStyle w:val="a5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asigură suportul administrativ şi organizaţional în scopul realizării efective a procesului </w:t>
      </w:r>
      <w:r w:rsidR="00C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arbitral</w:t>
      </w:r>
      <w:r w:rsidRPr="002E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D603B0" w:rsidRDefault="008D68EB" w:rsidP="00D603B0">
      <w:pPr>
        <w:pStyle w:val="a5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afişează pe panoul informativ a informaţiei cu privire la cauzele numite spre examinare;</w:t>
      </w:r>
    </w:p>
    <w:p w:rsidR="00D603B0" w:rsidRDefault="008D68EB" w:rsidP="00D603B0">
      <w:pPr>
        <w:pStyle w:val="a5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publică</w:t>
      </w:r>
      <w:r w:rsidR="00C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după caz,</w:t>
      </w:r>
      <w:r w:rsidRPr="002E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550" w:rsidRPr="002E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hotărârile</w:t>
      </w:r>
      <w:r w:rsidRPr="002E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arbitrale</w:t>
      </w:r>
      <w:r w:rsidRPr="002E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pe pagina web a </w:t>
      </w:r>
      <w:r w:rsidR="00C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Curții de Arbitraj</w:t>
      </w:r>
      <w:r w:rsidRPr="002E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03B0" w:rsidRDefault="008D68EB" w:rsidP="00D603B0">
      <w:pPr>
        <w:pStyle w:val="a5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generalizează practica </w:t>
      </w:r>
      <w:r w:rsidR="00BE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arbitrală</w:t>
      </w:r>
      <w:r w:rsidRPr="002E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referitoare la anumite categorii de pricini;</w:t>
      </w:r>
    </w:p>
    <w:p w:rsidR="00D603B0" w:rsidRDefault="008D68EB" w:rsidP="00D603B0">
      <w:pPr>
        <w:pStyle w:val="a5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întocmeşte şi analizează statistica </w:t>
      </w:r>
      <w:r w:rsidR="00BE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arbitrală semestrială și</w:t>
      </w:r>
      <w:r w:rsidRPr="00D6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anuală;</w:t>
      </w:r>
    </w:p>
    <w:p w:rsidR="00D603B0" w:rsidRDefault="008D68EB" w:rsidP="00D603B0">
      <w:pPr>
        <w:pStyle w:val="a5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ţine evidenţa dosarelor transmise în arhivă;</w:t>
      </w:r>
    </w:p>
    <w:p w:rsidR="00D603B0" w:rsidRDefault="008D68EB" w:rsidP="00D603B0">
      <w:pPr>
        <w:pStyle w:val="a5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asigură suportul tehnico-material pentru desfăşurarea activităţii </w:t>
      </w:r>
      <w:r w:rsidR="00FF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Curții Internaționale de Arbitraj</w:t>
      </w:r>
      <w:r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D603B0" w:rsidRDefault="008D68EB" w:rsidP="00D603B0">
      <w:pPr>
        <w:pStyle w:val="a5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realizează alte funcţii în conformitate cu prezentul Regulament şi </w:t>
      </w:r>
      <w:r w:rsidR="00FF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actele emise de Colegiul Superior de Arbitraj</w:t>
      </w:r>
      <w:r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84F29" w:rsidRDefault="00584F29" w:rsidP="002E337B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8D68EB" w:rsidRPr="00872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Conducerea </w:t>
      </w:r>
      <w:r w:rsidRPr="00872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Secretariatului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CIA</w:t>
      </w:r>
    </w:p>
    <w:p w:rsidR="00584F29" w:rsidRDefault="00584F29" w:rsidP="002E337B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D68EB"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Activitatea secretariatului</w:t>
      </w:r>
      <w:r w:rsidR="00964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CIA</w:t>
      </w:r>
      <w:r w:rsidR="009640FE"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68EB"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este organizată de şeful secretariatului, numit în funcţie de </w:t>
      </w:r>
      <w:r w:rsidR="00814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Colegiul Superior de Arbitraj la propunerea Președintelui Curții Internaționale de Arbitraj</w:t>
      </w:r>
      <w:r w:rsidR="008D68EB"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Şeful secretariatului, care poate av</w:t>
      </w:r>
      <w:r w:rsidR="004D5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ea studii juridice sau </w:t>
      </w:r>
      <w:r w:rsidR="008D68EB"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economice, îşi exercită atribuţiile în conformitate cu prezentul Regulament</w:t>
      </w:r>
      <w:r w:rsidR="00814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și actele emise de Colegiul Superior de Arbitraj</w:t>
      </w:r>
      <w:r w:rsidR="008D68EB"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F29" w:rsidRDefault="00584F29" w:rsidP="002E337B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D68EB"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Şeful secretariatului are următoarele atribuţii de bază:</w:t>
      </w:r>
    </w:p>
    <w:p w:rsidR="000C5190" w:rsidRDefault="000C5190" w:rsidP="000C5190">
      <w:pPr>
        <w:pStyle w:val="a5"/>
        <w:numPr>
          <w:ilvl w:val="0"/>
          <w:numId w:val="5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organizează activitatea personalului responsabil de</w:t>
      </w:r>
      <w:r w:rsidRPr="00267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asistența tribunalului arbitral;</w:t>
      </w:r>
    </w:p>
    <w:p w:rsidR="00102F6D" w:rsidRDefault="008D68EB" w:rsidP="00267FF8">
      <w:pPr>
        <w:pStyle w:val="a5"/>
        <w:numPr>
          <w:ilvl w:val="0"/>
          <w:numId w:val="5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organizează activitatea personalului legată de întocmirea şi </w:t>
      </w:r>
      <w:r w:rsidR="00267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remiterea</w:t>
      </w:r>
      <w:r w:rsidR="00102F6D" w:rsidRPr="0010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participanților</w:t>
      </w:r>
      <w:r w:rsidRPr="0010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în termenul stabilit </w:t>
      </w:r>
      <w:r w:rsidR="00102F6D" w:rsidRPr="0010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de </w:t>
      </w:r>
      <w:r w:rsidR="00053CA2" w:rsidRPr="0010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Regulile </w:t>
      </w:r>
      <w:r w:rsidRPr="0010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de </w:t>
      </w:r>
      <w:r w:rsidR="00053CA2" w:rsidRPr="0010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procedură arbitrală</w:t>
      </w:r>
      <w:r w:rsidRPr="0010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a informaţiei privind cauzele fixate pentru </w:t>
      </w:r>
      <w:r w:rsidR="00E158F1" w:rsidRPr="0010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examinare</w:t>
      </w:r>
      <w:r w:rsidRPr="0010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inclusiv privind obiectul acestora;</w:t>
      </w:r>
    </w:p>
    <w:p w:rsidR="00C91814" w:rsidRDefault="008D68EB" w:rsidP="002E337B">
      <w:pPr>
        <w:pStyle w:val="a5"/>
        <w:numPr>
          <w:ilvl w:val="0"/>
          <w:numId w:val="5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coordonează şi verifică activitatea subdiviziunilor secretariatului </w:t>
      </w:r>
      <w:r w:rsidR="00C91814" w:rsidRPr="00C9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și a oficiilor teritoriale a Curții de Arbitraj</w:t>
      </w:r>
      <w:r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0B58" w:rsidRDefault="008D68EB" w:rsidP="002E337B">
      <w:pPr>
        <w:pStyle w:val="a5"/>
        <w:numPr>
          <w:ilvl w:val="0"/>
          <w:numId w:val="5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elaborează şi prezintă spre aprobare preşedintelui </w:t>
      </w:r>
      <w:r w:rsidR="00C91814" w:rsidRPr="000C0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Curții de Arbitraj</w:t>
      </w:r>
      <w:r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planurile strategice de activitate a </w:t>
      </w:r>
      <w:r w:rsidR="000C0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secretariatului </w:t>
      </w:r>
      <w:r w:rsidR="00C91814" w:rsidRPr="000C0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Curții</w:t>
      </w:r>
      <w:r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4F29" w:rsidRPr="000C0B58" w:rsidRDefault="008D68EB" w:rsidP="002E337B">
      <w:pPr>
        <w:pStyle w:val="a5"/>
        <w:numPr>
          <w:ilvl w:val="0"/>
          <w:numId w:val="5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exercită alte funcţii atribuite </w:t>
      </w:r>
      <w:r w:rsidR="000C0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de prezentul Regulament </w:t>
      </w:r>
      <w:r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sau delegate de către preşedintele</w:t>
      </w:r>
      <w:r w:rsidR="000C0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/vicepreședintele Curții Internaționale de Arbitraj</w:t>
      </w:r>
      <w:r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5117" w:rsidRDefault="00584F29" w:rsidP="002E337B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0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8D68EB"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În caz de ab</w:t>
      </w:r>
      <w:r w:rsidR="0080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senţă a </w:t>
      </w:r>
      <w:r w:rsidR="004D5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Şefului </w:t>
      </w:r>
      <w:r w:rsidR="0080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secretariatului</w:t>
      </w:r>
      <w:r w:rsidR="008D68EB"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funcţiile</w:t>
      </w:r>
      <w:r w:rsidR="0080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acestuia sau o parte din ele su</w:t>
      </w:r>
      <w:r w:rsidR="008D68EB"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4D5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 delegate de către Colegiul Superior de Arbitraj</w:t>
      </w:r>
      <w:r w:rsidR="0080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altei persoane.</w:t>
      </w:r>
    </w:p>
    <w:p w:rsidR="00A355FF" w:rsidRDefault="00A355FF" w:rsidP="002E337B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8D68EB" w:rsidRPr="00872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Structura </w:t>
      </w:r>
      <w:r w:rsidRPr="00872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Secretariatului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CIA</w:t>
      </w:r>
    </w:p>
    <w:p w:rsidR="00CC01A3" w:rsidRDefault="00CC01A3" w:rsidP="002E337B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D68EB"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Secretariatul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CIA </w:t>
      </w:r>
      <w:r w:rsidR="008D68EB"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 constituie din grefă şi serviciul administrativ.</w:t>
      </w:r>
    </w:p>
    <w:p w:rsidR="00360A5F" w:rsidRDefault="00CC01A3" w:rsidP="002E337B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D68EB"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</w:t>
      </w:r>
      <w:r w:rsidR="008D68EB" w:rsidRPr="00872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Grefa</w:t>
      </w:r>
      <w:r w:rsidR="008D68EB"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Secretariatului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CIA</w:t>
      </w:r>
      <w:r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68EB"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asistă </w:t>
      </w:r>
      <w:r w:rsidR="002D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tribunalele arbitrale</w:t>
      </w:r>
      <w:r w:rsidR="008D68EB"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în procesul de </w:t>
      </w:r>
      <w:r w:rsidR="002D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examinare a cauzei</w:t>
      </w:r>
      <w:r w:rsidR="008D68EB"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În cadrul grefei se instituie subdiviziuni ale asistenţilor </w:t>
      </w:r>
      <w:r w:rsidR="0036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arbitrali</w:t>
      </w:r>
      <w:r w:rsidR="008D68EB"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C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inclusiv </w:t>
      </w:r>
      <w:r w:rsidR="008D68EB"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subdiviziuni pentru generalizarea statisticii </w:t>
      </w:r>
      <w:r w:rsidR="0036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arbitrale</w:t>
      </w:r>
      <w:r w:rsidR="008D68EB"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pentru analiza, sistematizarea şi unificarea practicii </w:t>
      </w:r>
      <w:r w:rsidR="0036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arbitrale</w:t>
      </w:r>
      <w:r w:rsidR="008D68EB"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precum şi subdiviziuni pentru documentarea şi asigurarea desfăşurării procesului </w:t>
      </w:r>
      <w:r w:rsidR="0036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arbitral</w:t>
      </w:r>
      <w:r w:rsidR="008D68EB"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110F" w:rsidRDefault="00360A5F" w:rsidP="002E337B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D68EB"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D68EB"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8D68EB" w:rsidRPr="00872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Serviciul administrativ</w:t>
      </w:r>
      <w:r w:rsidR="008D68EB"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al</w:t>
      </w:r>
      <w:r w:rsidR="00D6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68EB"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secretariatului</w:t>
      </w:r>
      <w:r w:rsidR="00D6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CIA</w:t>
      </w:r>
      <w:r w:rsidR="008D68EB"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asigură activitatea organizatorică a </w:t>
      </w:r>
      <w:r w:rsidR="00D6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Curții de Arbitraj</w:t>
      </w:r>
      <w:r w:rsidR="008D68EB"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În cadrul serviciului administrativ se instituie</w:t>
      </w:r>
      <w:r w:rsidR="008C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după caz,</w:t>
      </w:r>
      <w:r w:rsidR="008D68EB"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subdiviziunile: financiar-economică, de tehnologii informaţionale, arhiva, biblioteca, precum şi alte subdiviziuni necesare pentru activitatea </w:t>
      </w:r>
      <w:r w:rsidR="00D6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Curții de Arbitraj</w:t>
      </w:r>
      <w:r w:rsidR="008D68EB" w:rsidRPr="0087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F37FD" w:rsidRPr="00EF37FD" w:rsidRDefault="00EF37FD" w:rsidP="002E337B">
      <w:pPr>
        <w:spacing w:before="120"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3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Oficiile teritoriale ale Secretariatului CIA</w:t>
      </w:r>
    </w:p>
    <w:p w:rsidR="00EF37FD" w:rsidRDefault="00EF37FD" w:rsidP="002E337B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În regiunea în care își desfășoară activitatea Curtea Internațională de Arbitraj, secretariatul CIA poate deschide oficii teritoriale</w:t>
      </w:r>
      <w:r w:rsidR="006E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2660" w:rsidRDefault="006E2660" w:rsidP="002E337B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Oficiul </w:t>
      </w:r>
      <w:r w:rsidR="00EB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teritorial se organizează și funcționează ca subdiviziune teritorială a Secretariatului CIA, menit să îndeplinească prerogativele acordate de prezentul Regulament, sau delegate de</w:t>
      </w:r>
      <w:r w:rsidR="0083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Șeful secretariatului CIA sau de președintele/vicepreședintele CIA</w:t>
      </w:r>
      <w:r w:rsidR="00EB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349A4" w:rsidRDefault="008349A4" w:rsidP="002E337B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Oficiul </w:t>
      </w:r>
      <w:r w:rsidR="00A2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teritorial activează fără statut de persoană juridică și are sediul în orașul (mun</w:t>
      </w:r>
      <w:r w:rsidR="00026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A2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cipiul) în care își desfășoară activitatea Curtea Internațională de Arbitra</w:t>
      </w:r>
      <w:r w:rsidR="005B0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j. </w:t>
      </w:r>
      <w:r w:rsidR="005A3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Sediul Oficiului teritorial este aprobat de Colegiul Superior de Arbitraj.</w:t>
      </w:r>
      <w:r w:rsidR="00A2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3D13" w:rsidRDefault="005A3D13" w:rsidP="002E337B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Conducerea Oficiului teritorial este asigurată de reprezentantul Secretariatului CIA în regiune, care este desemnat de Președintele/</w:t>
      </w:r>
      <w:r w:rsidR="003D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Vicepreședintele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CIA, la propunerea Șefului Secretariatului CIA. </w:t>
      </w:r>
    </w:p>
    <w:p w:rsidR="003D367B" w:rsidRDefault="003D367B" w:rsidP="002E337B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Angajații Oficiului teritorial sunt încadrați și eliberați din funcție prin ordinul Președintelui CIA la propunerea Șefului Secretariatului CIA.</w:t>
      </w:r>
    </w:p>
    <w:p w:rsidR="00484968" w:rsidRDefault="00484968" w:rsidP="002E337B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7.6. Oficiul teritorial utilizează în activitatea sa blanchete aprobate de Curtea Internațională de Arbitraj și are ștampilă care se aplică pe acte.</w:t>
      </w:r>
    </w:p>
    <w:p w:rsidR="001B5365" w:rsidRPr="001B5365" w:rsidRDefault="001B5365" w:rsidP="002E337B">
      <w:pPr>
        <w:spacing w:before="120"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5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Dispoziții finale</w:t>
      </w:r>
    </w:p>
    <w:p w:rsidR="001B5365" w:rsidRDefault="001B5365" w:rsidP="002E337B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Prezentul </w:t>
      </w:r>
      <w:r w:rsidR="00A3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Regulament se aprobă de către Colegiul Superior de Arbitraj și se aplică începând cu data de 01 februarie 2019.</w:t>
      </w:r>
    </w:p>
    <w:p w:rsidR="00A3033F" w:rsidRDefault="00A3033F" w:rsidP="002E337B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Prezentul </w:t>
      </w:r>
      <w:r w:rsidR="00783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Regulament se publică pe pagina web a Colegiului Superior de Arbitraj.</w:t>
      </w:r>
    </w:p>
    <w:p w:rsidR="001C2552" w:rsidRDefault="001C2552" w:rsidP="002E337B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C2552" w:rsidSect="00CB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64DD"/>
    <w:multiLevelType w:val="hybridMultilevel"/>
    <w:tmpl w:val="8AD6CACA"/>
    <w:lvl w:ilvl="0" w:tplc="04190017">
      <w:start w:val="1"/>
      <w:numFmt w:val="lowerLetter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DB516A"/>
    <w:multiLevelType w:val="hybridMultilevel"/>
    <w:tmpl w:val="B1F216DA"/>
    <w:lvl w:ilvl="0" w:tplc="C1D6AAC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3BC652A"/>
    <w:multiLevelType w:val="hybridMultilevel"/>
    <w:tmpl w:val="7E1C6A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E1C84"/>
    <w:multiLevelType w:val="hybridMultilevel"/>
    <w:tmpl w:val="A04AB9E6"/>
    <w:lvl w:ilvl="0" w:tplc="B51459F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56A3C2D"/>
    <w:multiLevelType w:val="hybridMultilevel"/>
    <w:tmpl w:val="ECCE649C"/>
    <w:lvl w:ilvl="0" w:tplc="A0AA10FC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CAA654A"/>
    <w:multiLevelType w:val="hybridMultilevel"/>
    <w:tmpl w:val="E9C8510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C448D"/>
    <w:multiLevelType w:val="hybridMultilevel"/>
    <w:tmpl w:val="239EDF2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302C3"/>
    <w:multiLevelType w:val="multilevel"/>
    <w:tmpl w:val="CD5CC14A"/>
    <w:lvl w:ilvl="0">
      <w:start w:val="2"/>
      <w:numFmt w:val="decimal"/>
      <w:lvlText w:val="3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2E76851"/>
    <w:multiLevelType w:val="hybridMultilevel"/>
    <w:tmpl w:val="5BA2A89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1A309A"/>
    <w:multiLevelType w:val="hybridMultilevel"/>
    <w:tmpl w:val="9482B45A"/>
    <w:lvl w:ilvl="0" w:tplc="7B306EE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8D68EB"/>
    <w:rsid w:val="00026133"/>
    <w:rsid w:val="00053CA2"/>
    <w:rsid w:val="0005633A"/>
    <w:rsid w:val="000714AD"/>
    <w:rsid w:val="000C0B58"/>
    <w:rsid w:val="000C5190"/>
    <w:rsid w:val="00102F6D"/>
    <w:rsid w:val="00104A78"/>
    <w:rsid w:val="00152D36"/>
    <w:rsid w:val="00196ADA"/>
    <w:rsid w:val="001B5365"/>
    <w:rsid w:val="001C2552"/>
    <w:rsid w:val="00246A40"/>
    <w:rsid w:val="00267FF8"/>
    <w:rsid w:val="002C777C"/>
    <w:rsid w:val="002D1758"/>
    <w:rsid w:val="002E337B"/>
    <w:rsid w:val="00304431"/>
    <w:rsid w:val="00336210"/>
    <w:rsid w:val="00360A5F"/>
    <w:rsid w:val="003925A6"/>
    <w:rsid w:val="003D367B"/>
    <w:rsid w:val="004778B1"/>
    <w:rsid w:val="00484968"/>
    <w:rsid w:val="004D45DE"/>
    <w:rsid w:val="004D5BB6"/>
    <w:rsid w:val="00503D71"/>
    <w:rsid w:val="005345E6"/>
    <w:rsid w:val="00584F29"/>
    <w:rsid w:val="005A3D13"/>
    <w:rsid w:val="005B0A72"/>
    <w:rsid w:val="005F0DB6"/>
    <w:rsid w:val="006E2660"/>
    <w:rsid w:val="00783641"/>
    <w:rsid w:val="007C748C"/>
    <w:rsid w:val="00805117"/>
    <w:rsid w:val="00814BAA"/>
    <w:rsid w:val="008349A4"/>
    <w:rsid w:val="00837A2F"/>
    <w:rsid w:val="008C110F"/>
    <w:rsid w:val="008D68EB"/>
    <w:rsid w:val="008E0887"/>
    <w:rsid w:val="009414D0"/>
    <w:rsid w:val="009640FE"/>
    <w:rsid w:val="00976634"/>
    <w:rsid w:val="00A262ED"/>
    <w:rsid w:val="00A3033F"/>
    <w:rsid w:val="00A355FF"/>
    <w:rsid w:val="00B12EBF"/>
    <w:rsid w:val="00BD1D6A"/>
    <w:rsid w:val="00BE7726"/>
    <w:rsid w:val="00BF6241"/>
    <w:rsid w:val="00C55DD7"/>
    <w:rsid w:val="00C91814"/>
    <w:rsid w:val="00CB1701"/>
    <w:rsid w:val="00CB3550"/>
    <w:rsid w:val="00CC01A3"/>
    <w:rsid w:val="00D312E5"/>
    <w:rsid w:val="00D60025"/>
    <w:rsid w:val="00D603B0"/>
    <w:rsid w:val="00DA6008"/>
    <w:rsid w:val="00E158F1"/>
    <w:rsid w:val="00E54CCC"/>
    <w:rsid w:val="00E7641B"/>
    <w:rsid w:val="00EA4797"/>
    <w:rsid w:val="00EB281E"/>
    <w:rsid w:val="00EF37FD"/>
    <w:rsid w:val="00FB7874"/>
    <w:rsid w:val="00FE71E9"/>
    <w:rsid w:val="00FF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EB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C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CCC"/>
    <w:rPr>
      <w:rFonts w:ascii="Tahoma" w:hAnsi="Tahoma" w:cs="Tahoma"/>
      <w:sz w:val="16"/>
      <w:szCs w:val="16"/>
      <w:lang w:val="ro-RO"/>
    </w:rPr>
  </w:style>
  <w:style w:type="paragraph" w:styleId="a5">
    <w:name w:val="List Paragraph"/>
    <w:basedOn w:val="a"/>
    <w:uiPriority w:val="34"/>
    <w:qFormat/>
    <w:rsid w:val="00BD1D6A"/>
    <w:pPr>
      <w:ind w:left="720"/>
      <w:contextualSpacing/>
    </w:pPr>
  </w:style>
  <w:style w:type="paragraph" w:customStyle="1" w:styleId="textsubpage">
    <w:name w:val="textsubpage"/>
    <w:basedOn w:val="a"/>
    <w:rsid w:val="00814BAA"/>
    <w:pPr>
      <w:spacing w:before="100" w:beforeAutospacing="1" w:after="100" w:afterAutospacing="1"/>
    </w:pPr>
    <w:rPr>
      <w:rFonts w:ascii="Verdana" w:eastAsia="SimSun" w:hAnsi="Verdana" w:cs="Times New Roman"/>
      <w:color w:val="000000"/>
      <w:sz w:val="15"/>
      <w:szCs w:val="15"/>
      <w:lang w:eastAsia="zh-CN"/>
    </w:rPr>
  </w:style>
  <w:style w:type="character" w:customStyle="1" w:styleId="docblue">
    <w:name w:val="doc_blue"/>
    <w:basedOn w:val="a0"/>
    <w:rsid w:val="00EF37FD"/>
  </w:style>
  <w:style w:type="table" w:styleId="a6">
    <w:name w:val="Table Grid"/>
    <w:basedOn w:val="a1"/>
    <w:uiPriority w:val="59"/>
    <w:rsid w:val="001C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1B53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11</cp:revision>
  <dcterms:created xsi:type="dcterms:W3CDTF">2019-04-22T14:05:00Z</dcterms:created>
  <dcterms:modified xsi:type="dcterms:W3CDTF">2019-04-22T19:55:00Z</dcterms:modified>
</cp:coreProperties>
</file>